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4C3840E8"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Pr="007A13CB">
        <w:rPr>
          <w:rFonts w:eastAsia="MS Mincho" w:cs="Arial"/>
          <w:kern w:val="0"/>
          <w:sz w:val="24"/>
          <w:szCs w:val="24"/>
          <w:lang w:val="sv-SE" w:eastAsia="en-US"/>
        </w:rPr>
        <w:tab/>
        <w:t>R1-16</w:t>
      </w:r>
      <w:r w:rsidR="00E41D22">
        <w:rPr>
          <w:rFonts w:eastAsia="MS Mincho" w:cs="Arial"/>
          <w:kern w:val="0"/>
          <w:sz w:val="24"/>
          <w:szCs w:val="24"/>
          <w:lang w:val="sv-SE" w:eastAsia="en-US"/>
        </w:rPr>
        <w:t>10346</w:t>
      </w:r>
    </w:p>
    <w:p w14:paraId="15A4D69E" w14:textId="34D3D831"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586D411C" w14:textId="7AD8EBFC" w:rsidR="00BD21BC" w:rsidRPr="002E7007" w:rsidRDefault="00A3153E"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Lisbon</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Portugal</w:t>
      </w:r>
    </w:p>
    <w:p w14:paraId="7A057892" w14:textId="77777777" w:rsidR="003A4578" w:rsidRDefault="003A4578" w:rsidP="003A4578">
      <w:pPr>
        <w:pStyle w:val="3GPPHeader"/>
        <w:spacing w:after="120"/>
        <w:rPr>
          <w:rFonts w:cs="Arial"/>
          <w:sz w:val="22"/>
          <w:lang w:val="en-US"/>
        </w:rPr>
      </w:pPr>
      <w:bookmarkStart w:id="0" w:name="_GoBack"/>
      <w:bookmarkEnd w:id="0"/>
    </w:p>
    <w:p w14:paraId="464454F2" w14:textId="3D7BB3C2"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Pr>
          <w:rFonts w:cs="Arial"/>
          <w:b w:val="0"/>
          <w:bCs/>
          <w:sz w:val="22"/>
          <w:lang w:val="en-US"/>
        </w:rPr>
        <w:t>7.2.</w:t>
      </w:r>
      <w:r w:rsidR="00CC5D83">
        <w:rPr>
          <w:rFonts w:cs="Arial"/>
          <w:b w:val="0"/>
          <w:bCs/>
          <w:sz w:val="22"/>
          <w:lang w:val="en-US"/>
        </w:rPr>
        <w:t>9.1.</w:t>
      </w:r>
      <w:r w:rsidR="009511A2">
        <w:rPr>
          <w:rFonts w:cs="Arial"/>
          <w:b w:val="0"/>
          <w:bCs/>
          <w:sz w:val="22"/>
          <w:lang w:val="en-US"/>
        </w:rPr>
        <w:t>2</w:t>
      </w:r>
      <w:r w:rsidR="00CC5D83">
        <w:rPr>
          <w:rFonts w:cs="Arial"/>
          <w:b w:val="0"/>
          <w:bCs/>
          <w:sz w:val="22"/>
          <w:lang w:val="en-US"/>
        </w:rPr>
        <w:t xml:space="preserve"> Evaluation of narrowband OTDOA positioning</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6FD46C75"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A3153E">
        <w:rPr>
          <w:rFonts w:cs="Arial"/>
          <w:b w:val="0"/>
          <w:bCs/>
          <w:sz w:val="22"/>
          <w:lang w:val="en-US"/>
        </w:rPr>
        <w:t>On the use of existing NB-IoT signals for OTDOA</w:t>
      </w:r>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0995F0B4" w14:textId="286C81B1" w:rsidR="000E3126" w:rsidRPr="000E3126" w:rsidRDefault="00A3153E" w:rsidP="000E3126">
      <w:pPr>
        <w:pStyle w:val="BodyText"/>
        <w:rPr>
          <w:rFonts w:eastAsia="MS Mincho"/>
          <w:color w:val="C00000"/>
          <w:lang w:val="en-US" w:eastAsia="ja-JP"/>
        </w:rPr>
      </w:pPr>
      <w:r>
        <w:rPr>
          <w:rFonts w:eastAsia="MS Mincho"/>
          <w:lang w:val="en-US" w:eastAsia="ja-JP"/>
        </w:rPr>
        <w:t xml:space="preserve">At RAN1#86 the discussions on NB-IoT positioning was started and it was among other things agreed to model interference loads of </w:t>
      </w:r>
      <w:r w:rsidR="004F1CFF">
        <w:rPr>
          <w:rFonts w:eastAsia="MS Mincho"/>
          <w:lang w:val="en-US" w:eastAsia="ja-JP"/>
        </w:rPr>
        <w:t>10%, 5</w:t>
      </w:r>
      <w:r>
        <w:rPr>
          <w:rFonts w:eastAsia="MS Mincho"/>
          <w:lang w:val="en-US" w:eastAsia="ja-JP"/>
        </w:rPr>
        <w:t>0% and 100%</w:t>
      </w:r>
      <w:r w:rsidR="004A0DBD">
        <w:rPr>
          <w:rFonts w:eastAsia="MS Mincho"/>
          <w:lang w:val="en-US" w:eastAsia="ja-JP"/>
        </w:rPr>
        <w:t xml:space="preserve"> </w:t>
      </w:r>
      <w:r w:rsidR="004A0DBD">
        <w:rPr>
          <w:rFonts w:eastAsia="MS Mincho"/>
          <w:lang w:val="en-US" w:eastAsia="ja-JP"/>
        </w:rPr>
        <w:fldChar w:fldCharType="begin"/>
      </w:r>
      <w:r w:rsidR="004A0DBD">
        <w:rPr>
          <w:rFonts w:eastAsia="MS Mincho"/>
          <w:lang w:val="en-US" w:eastAsia="ja-JP"/>
        </w:rPr>
        <w:instrText xml:space="preserve"> REF _Ref462838573 \r \h </w:instrText>
      </w:r>
      <w:r w:rsidR="004A0DBD">
        <w:rPr>
          <w:rFonts w:eastAsia="MS Mincho"/>
          <w:lang w:val="en-US" w:eastAsia="ja-JP"/>
        </w:rPr>
      </w:r>
      <w:r w:rsidR="004A0DBD">
        <w:rPr>
          <w:rFonts w:eastAsia="MS Mincho"/>
          <w:lang w:val="en-US" w:eastAsia="ja-JP"/>
        </w:rPr>
        <w:fldChar w:fldCharType="separate"/>
      </w:r>
      <w:r w:rsidR="004A0DBD">
        <w:rPr>
          <w:rFonts w:eastAsia="MS Mincho"/>
          <w:lang w:val="en-US" w:eastAsia="ja-JP"/>
        </w:rPr>
        <w:t>[5]</w:t>
      </w:r>
      <w:r w:rsidR="004A0DBD">
        <w:rPr>
          <w:rFonts w:eastAsia="MS Mincho"/>
          <w:lang w:val="en-US" w:eastAsia="ja-JP"/>
        </w:rPr>
        <w:fldChar w:fldCharType="end"/>
      </w:r>
      <w:r>
        <w:rPr>
          <w:rFonts w:eastAsia="MS Mincho"/>
          <w:lang w:val="en-US" w:eastAsia="ja-JP"/>
        </w:rPr>
        <w:t xml:space="preserve">. </w:t>
      </w:r>
      <w:r w:rsidR="004F1CFF">
        <w:rPr>
          <w:rFonts w:eastAsia="MS Mincho"/>
          <w:lang w:val="en-US" w:eastAsia="ja-JP"/>
        </w:rPr>
        <w:t>The input presented by the sourcing company at RAN1#86, i.e.</w:t>
      </w:r>
      <w:r w:rsidR="004A0DBD">
        <w:rPr>
          <w:rFonts w:eastAsia="MS Mincho"/>
          <w:lang w:val="en-US" w:eastAsia="ja-JP"/>
        </w:rPr>
        <w:t xml:space="preserve"> in</w:t>
      </w:r>
      <w:r w:rsidR="004F1CFF">
        <w:rPr>
          <w:rFonts w:eastAsia="MS Mincho"/>
          <w:lang w:val="en-US" w:eastAsia="ja-JP"/>
        </w:rPr>
        <w:t xml:space="preserve"> </w:t>
      </w:r>
      <w:r w:rsidR="004F1CFF">
        <w:rPr>
          <w:rFonts w:eastAsia="MS Mincho"/>
          <w:lang w:val="en-US" w:eastAsia="ja-JP"/>
        </w:rPr>
        <w:fldChar w:fldCharType="begin"/>
      </w:r>
      <w:r w:rsidR="004F1CFF">
        <w:rPr>
          <w:rFonts w:eastAsia="MS Mincho"/>
          <w:lang w:val="en-US" w:eastAsia="ja-JP"/>
        </w:rPr>
        <w:instrText xml:space="preserve"> REF _Ref458718343 \r \h </w:instrText>
      </w:r>
      <w:r w:rsidR="004F1CFF">
        <w:rPr>
          <w:rFonts w:eastAsia="MS Mincho"/>
          <w:lang w:val="en-US" w:eastAsia="ja-JP"/>
        </w:rPr>
      </w:r>
      <w:r w:rsidR="004F1CFF">
        <w:rPr>
          <w:rFonts w:eastAsia="MS Mincho"/>
          <w:lang w:val="en-US" w:eastAsia="ja-JP"/>
        </w:rPr>
        <w:fldChar w:fldCharType="separate"/>
      </w:r>
      <w:r w:rsidR="004F1CFF">
        <w:rPr>
          <w:rFonts w:eastAsia="MS Mincho"/>
          <w:lang w:val="en-US" w:eastAsia="ja-JP"/>
        </w:rPr>
        <w:t>[2]</w:t>
      </w:r>
      <w:r w:rsidR="004F1CFF">
        <w:rPr>
          <w:rFonts w:eastAsia="MS Mincho"/>
          <w:lang w:val="en-US" w:eastAsia="ja-JP"/>
        </w:rPr>
        <w:fldChar w:fldCharType="end"/>
      </w:r>
      <w:r w:rsidR="004F1CFF">
        <w:rPr>
          <w:rFonts w:eastAsia="MS Mincho"/>
          <w:lang w:val="en-US" w:eastAsia="ja-JP"/>
        </w:rPr>
        <w:fldChar w:fldCharType="begin"/>
      </w:r>
      <w:r w:rsidR="004F1CFF">
        <w:rPr>
          <w:rFonts w:eastAsia="MS Mincho"/>
          <w:lang w:val="en-US" w:eastAsia="ja-JP"/>
        </w:rPr>
        <w:instrText xml:space="preserve"> REF _Ref458718346 \r \h </w:instrText>
      </w:r>
      <w:r w:rsidR="004F1CFF">
        <w:rPr>
          <w:rFonts w:eastAsia="MS Mincho"/>
          <w:lang w:val="en-US" w:eastAsia="ja-JP"/>
        </w:rPr>
      </w:r>
      <w:r w:rsidR="004F1CFF">
        <w:rPr>
          <w:rFonts w:eastAsia="MS Mincho"/>
          <w:lang w:val="en-US" w:eastAsia="ja-JP"/>
        </w:rPr>
        <w:fldChar w:fldCharType="separate"/>
      </w:r>
      <w:r w:rsidR="004F1CFF">
        <w:rPr>
          <w:rFonts w:eastAsia="MS Mincho"/>
          <w:lang w:val="en-US" w:eastAsia="ja-JP"/>
        </w:rPr>
        <w:t>[3]</w:t>
      </w:r>
      <w:r w:rsidR="004F1CFF">
        <w:rPr>
          <w:rFonts w:eastAsia="MS Mincho"/>
          <w:lang w:val="en-US" w:eastAsia="ja-JP"/>
        </w:rPr>
        <w:fldChar w:fldCharType="end"/>
      </w:r>
      <w:r w:rsidR="004F1CFF">
        <w:rPr>
          <w:rFonts w:eastAsia="MS Mincho"/>
          <w:lang w:val="en-US" w:eastAsia="ja-JP"/>
        </w:rPr>
        <w:fldChar w:fldCharType="begin"/>
      </w:r>
      <w:r w:rsidR="004F1CFF">
        <w:rPr>
          <w:rFonts w:eastAsia="MS Mincho"/>
          <w:lang w:val="en-US" w:eastAsia="ja-JP"/>
        </w:rPr>
        <w:instrText xml:space="preserve"> REF _Ref458718347 \r \h </w:instrText>
      </w:r>
      <w:r w:rsidR="004F1CFF">
        <w:rPr>
          <w:rFonts w:eastAsia="MS Mincho"/>
          <w:lang w:val="en-US" w:eastAsia="ja-JP"/>
        </w:rPr>
      </w:r>
      <w:r w:rsidR="004F1CFF">
        <w:rPr>
          <w:rFonts w:eastAsia="MS Mincho"/>
          <w:lang w:val="en-US" w:eastAsia="ja-JP"/>
        </w:rPr>
        <w:fldChar w:fldCharType="separate"/>
      </w:r>
      <w:r w:rsidR="004F1CFF">
        <w:rPr>
          <w:rFonts w:eastAsia="MS Mincho"/>
          <w:lang w:val="en-US" w:eastAsia="ja-JP"/>
        </w:rPr>
        <w:t>[4]</w:t>
      </w:r>
      <w:r w:rsidR="004F1CFF">
        <w:rPr>
          <w:rFonts w:eastAsia="MS Mincho"/>
          <w:lang w:val="en-US" w:eastAsia="ja-JP"/>
        </w:rPr>
        <w:fldChar w:fldCharType="end"/>
      </w:r>
      <w:r w:rsidR="004A0DBD">
        <w:rPr>
          <w:rFonts w:eastAsia="MS Mincho"/>
          <w:lang w:val="en-US" w:eastAsia="ja-JP"/>
        </w:rPr>
        <w:t>,</w:t>
      </w:r>
      <w:r w:rsidR="004F1CFF">
        <w:rPr>
          <w:rFonts w:eastAsia="MS Mincho"/>
          <w:lang w:val="en-US" w:eastAsia="ja-JP"/>
        </w:rPr>
        <w:t xml:space="preserve"> was for simplicity assuming 0% load</w:t>
      </w:r>
      <w:r w:rsidR="004A0DBD">
        <w:rPr>
          <w:rFonts w:eastAsia="MS Mincho"/>
          <w:lang w:val="en-US" w:eastAsia="ja-JP"/>
        </w:rPr>
        <w:t xml:space="preserve"> corresponding to a completely coverage limited network scenario. After RAN1#86 the system simulator described in</w:t>
      </w:r>
      <w:r w:rsidR="00435E98">
        <w:rPr>
          <w:rFonts w:eastAsia="MS Mincho"/>
          <w:lang w:val="en-US" w:eastAsia="ja-JP"/>
        </w:rPr>
        <w:t xml:space="preserve"> </w:t>
      </w:r>
      <w:r w:rsidR="00435E98">
        <w:rPr>
          <w:rFonts w:eastAsia="MS Mincho"/>
          <w:lang w:val="en-US" w:eastAsia="ja-JP"/>
        </w:rPr>
        <w:fldChar w:fldCharType="begin"/>
      </w:r>
      <w:r w:rsidR="00435E98">
        <w:rPr>
          <w:rFonts w:eastAsia="MS Mincho"/>
          <w:lang w:val="en-US" w:eastAsia="ja-JP"/>
        </w:rPr>
        <w:instrText xml:space="preserve"> REF _Ref462745136 \r \h </w:instrText>
      </w:r>
      <w:r w:rsidR="00435E98">
        <w:rPr>
          <w:rFonts w:eastAsia="MS Mincho"/>
          <w:lang w:val="en-US" w:eastAsia="ja-JP"/>
        </w:rPr>
      </w:r>
      <w:r w:rsidR="00435E98">
        <w:rPr>
          <w:rFonts w:eastAsia="MS Mincho"/>
          <w:lang w:val="en-US" w:eastAsia="ja-JP"/>
        </w:rPr>
        <w:fldChar w:fldCharType="separate"/>
      </w:r>
      <w:r w:rsidR="00435E98">
        <w:rPr>
          <w:rFonts w:eastAsia="MS Mincho"/>
          <w:lang w:val="en-US" w:eastAsia="ja-JP"/>
        </w:rPr>
        <w:t>[6]</w:t>
      </w:r>
      <w:r w:rsidR="00435E98">
        <w:rPr>
          <w:rFonts w:eastAsia="MS Mincho"/>
          <w:lang w:val="en-US" w:eastAsia="ja-JP"/>
        </w:rPr>
        <w:fldChar w:fldCharType="end"/>
      </w:r>
      <w:r w:rsidR="00435E98">
        <w:rPr>
          <w:rFonts w:eastAsia="MS Mincho"/>
          <w:lang w:val="en-US" w:eastAsia="ja-JP"/>
        </w:rPr>
        <w:t xml:space="preserve"> was updated to cater for the interference loads as agreed.</w:t>
      </w:r>
      <w:r w:rsidR="004A0DBD">
        <w:rPr>
          <w:rFonts w:eastAsia="MS Mincho"/>
          <w:lang w:val="en-US" w:eastAsia="ja-JP"/>
        </w:rPr>
        <w:t xml:space="preserve"> </w:t>
      </w:r>
      <w:r w:rsidR="00435E98">
        <w:rPr>
          <w:rFonts w:eastAsia="MS Mincho"/>
          <w:lang w:val="en-US" w:eastAsia="ja-JP"/>
        </w:rPr>
        <w:t xml:space="preserve">This contribution presents </w:t>
      </w:r>
      <w:r w:rsidR="00B651F7">
        <w:rPr>
          <w:rFonts w:eastAsia="MS Mincho"/>
          <w:lang w:val="en-US" w:eastAsia="ja-JP"/>
        </w:rPr>
        <w:t xml:space="preserve">a few observations made on the level of interference observed in the simulated system, and on the impact this is expected to have on the ability of the existing Release 13 NPSS, NSSS and NRS signals to cater for good OTDOA positioning performance. </w:t>
      </w:r>
    </w:p>
    <w:p w14:paraId="5A956A3D" w14:textId="02F16CE9" w:rsidR="0072236D" w:rsidRDefault="00AF63E2" w:rsidP="001726E9">
      <w:pPr>
        <w:pStyle w:val="Heading1"/>
      </w:pPr>
      <w:r>
        <w:t>Discussion</w:t>
      </w:r>
    </w:p>
    <w:p w14:paraId="4A076C93" w14:textId="53408AFC" w:rsidR="0022758B" w:rsidRDefault="00B651F7" w:rsidP="00B651F7">
      <w:r>
        <w:t xml:space="preserve">In OTDOA a UE is expected to measure the time of arrival (TOA) from a set of cells and report the </w:t>
      </w:r>
      <w:r w:rsidR="00E41D22">
        <w:t xml:space="preserve">difference of the </w:t>
      </w:r>
      <w:r>
        <w:t xml:space="preserve">same back to the network. The ability of the UE to efficiently measure the TOA is dependent on the SINR levels experienced in each UE to eNB link. In the case of NB-IoT it is expected that the system should be operable for a 1/1 frequency reuse, which implies that all eNBs interfere each other. So if a UE receives a reference signal from two eNBs with a power difference of </w:t>
      </w:r>
      <w:r w:rsidR="00CC2245">
        <w:t>10</w:t>
      </w:r>
      <w:r>
        <w:t xml:space="preserve"> dB, then it will experience a SINR of +10 dB when detecting the TOA of the first cell, but a SINR of -10 dB when detecting the TOA of the second cell.</w:t>
      </w:r>
      <w:r w:rsidR="0022758B">
        <w:t xml:space="preserve"> This is a simple example</w:t>
      </w:r>
      <w:r w:rsidR="00CC2245">
        <w:t xml:space="preserve"> ignoring the noise power</w:t>
      </w:r>
      <w:r w:rsidR="0022758B">
        <w:t xml:space="preserve">, but it illustrates the issue caused by interference when attempting to listen to multiple cells.  </w:t>
      </w:r>
    </w:p>
    <w:p w14:paraId="11FEF2D5" w14:textId="7BBAFF52" w:rsidR="00B651F7" w:rsidRDefault="0022758B" w:rsidP="00B651F7">
      <w:r>
        <w:t xml:space="preserve">It is expected that for OTDOA to perform at its best a UE should listen to up to 10 cells, and it is </w:t>
      </w:r>
      <w:r w:rsidR="00844A8B">
        <w:t xml:space="preserve">obvious that the interference situation becomes worse. The below figure illustrates the recorded SINR values when a large quantity of UEs spread over a hexagonal cell grid is required to listen to 10 eNBs. The system follows the agreed assumptions in </w:t>
      </w:r>
      <w:r w:rsidR="00844A8B">
        <w:fldChar w:fldCharType="begin"/>
      </w:r>
      <w:r w:rsidR="00844A8B">
        <w:instrText xml:space="preserve"> REF _Ref462838573 \r \h </w:instrText>
      </w:r>
      <w:r w:rsidR="00844A8B">
        <w:fldChar w:fldCharType="separate"/>
      </w:r>
      <w:r w:rsidR="00844A8B">
        <w:t>[5]</w:t>
      </w:r>
      <w:r w:rsidR="00844A8B">
        <w:fldChar w:fldCharType="end"/>
      </w:r>
      <w:r w:rsidR="00844A8B">
        <w:t>. The impact on SINR is as expected considerable when the network load is increased.</w:t>
      </w:r>
    </w:p>
    <w:p w14:paraId="0D4D5F6B" w14:textId="77777777" w:rsidR="00844A8B" w:rsidRDefault="0022758B" w:rsidP="00844A8B">
      <w:pPr>
        <w:keepNext/>
      </w:pPr>
      <w:r>
        <w:rPr>
          <w:noProof/>
          <w:lang w:val="en-US" w:eastAsia="en-US"/>
        </w:rPr>
        <w:lastRenderedPageBreak/>
        <w:drawing>
          <wp:inline distT="0" distB="0" distL="0" distR="0" wp14:anchorId="0D7E302E" wp14:editId="11D8A7FF">
            <wp:extent cx="6115050" cy="45866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PRS_SINR_Analysis2.png"/>
                    <pic:cNvPicPr/>
                  </pic:nvPicPr>
                  <pic:blipFill>
                    <a:blip r:embed="rId8">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0285E466" w14:textId="3EA29699" w:rsidR="00B651F7" w:rsidRDefault="00844A8B" w:rsidP="00844A8B">
      <w:pPr>
        <w:pStyle w:val="Caption"/>
        <w:jc w:val="both"/>
      </w:pPr>
      <w:r>
        <w:t xml:space="preserve">Figure </w:t>
      </w:r>
      <w:r>
        <w:fldChar w:fldCharType="begin"/>
      </w:r>
      <w:r>
        <w:instrText xml:space="preserve"> SEQ Figure \* ARABIC </w:instrText>
      </w:r>
      <w:r>
        <w:fldChar w:fldCharType="separate"/>
      </w:r>
      <w:r w:rsidR="004B17DA">
        <w:rPr>
          <w:noProof/>
        </w:rPr>
        <w:t>1</w:t>
      </w:r>
      <w:r>
        <w:fldChar w:fldCharType="end"/>
      </w:r>
      <w:r>
        <w:t xml:space="preserve"> SINR distribution in a 1/1 frequency reuse system with 1732 m inter site distance and a MCL of 164 dB.</w:t>
      </w:r>
    </w:p>
    <w:p w14:paraId="059D7782" w14:textId="577C5A09" w:rsidR="00844A8B" w:rsidRDefault="00844A8B" w:rsidP="00844A8B">
      <w:r>
        <w:t xml:space="preserve">RAN4 is currently working on the RF and RRM requirements for NB-IoT and has e.g. agreed that a UE </w:t>
      </w:r>
      <w:r w:rsidR="000C33F6">
        <w:t>requires at least a S</w:t>
      </w:r>
      <w:r>
        <w:t>NR of -13 dB to be able to detect a synchronization channel. For details see TS 36.133 v14.0.0 table B1.4-2.</w:t>
      </w:r>
      <w:r w:rsidR="000C33F6">
        <w:t xml:space="preserve"> This SINR makes sense since </w:t>
      </w:r>
      <w:r w:rsidR="0076188E">
        <w:t>it</w:t>
      </w:r>
      <w:r w:rsidR="000C33F6">
        <w:t xml:space="preserve"> maps roughly to the SNR experienced by a UE with NF 5 dB in the 10 MHz inband scenario.</w:t>
      </w:r>
    </w:p>
    <w:p w14:paraId="55734461" w14:textId="6DEC61F3" w:rsidR="00C372EF" w:rsidRDefault="00A343B1" w:rsidP="00844A8B">
      <w:r>
        <w:t xml:space="preserve">The next figure quantifies the impact on NPSS positioning </w:t>
      </w:r>
      <w:r w:rsidR="00C372EF">
        <w:t>performance from different loads when</w:t>
      </w:r>
      <w:r>
        <w:t xml:space="preserve"> assuming the NPSS link to system model presented in </w:t>
      </w:r>
      <w:r>
        <w:fldChar w:fldCharType="begin"/>
      </w:r>
      <w:r>
        <w:instrText xml:space="preserve"> REF _Ref462745136 \r \h </w:instrText>
      </w:r>
      <w:r>
        <w:fldChar w:fldCharType="separate"/>
      </w:r>
      <w:r>
        <w:t>[6]</w:t>
      </w:r>
      <w:r>
        <w:fldChar w:fldCharType="end"/>
      </w:r>
      <w:r w:rsidR="00C372EF">
        <w:t xml:space="preserve">. From the discussion at RAN1#86 it is clear to the sourcing company that the here used NPSS </w:t>
      </w:r>
      <w:r w:rsidR="00E41D22">
        <w:t xml:space="preserve">receiver </w:t>
      </w:r>
      <w:r w:rsidR="00C372EF">
        <w:t>model may not be representative for a state of the art NB-IoT device. But it serves its purpose here to show how performance is</w:t>
      </w:r>
      <w:r w:rsidR="004B17DA">
        <w:t xml:space="preserve"> negatively</w:t>
      </w:r>
      <w:r w:rsidR="00C372EF">
        <w:t xml:space="preserve"> impacted by increasing the load in the system.</w:t>
      </w:r>
    </w:p>
    <w:p w14:paraId="2B3BA513" w14:textId="77777777" w:rsidR="004B17DA" w:rsidRDefault="00C372EF" w:rsidP="004B17DA">
      <w:pPr>
        <w:keepNext/>
      </w:pPr>
      <w:r>
        <w:rPr>
          <w:noProof/>
          <w:lang w:val="en-US" w:eastAsia="en-US"/>
        </w:rPr>
        <w:lastRenderedPageBreak/>
        <w:drawing>
          <wp:inline distT="0" distB="0" distL="0" distR="0" wp14:anchorId="2CFBEAB0" wp14:editId="07E01558">
            <wp:extent cx="6115050" cy="463931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PSS_Accuracy.png"/>
                    <pic:cNvPicPr/>
                  </pic:nvPicPr>
                  <pic:blipFill>
                    <a:blip r:embed="rId9">
                      <a:extLst>
                        <a:ext uri="{28A0092B-C50C-407E-A947-70E740481C1C}">
                          <a14:useLocalDpi xmlns:a14="http://schemas.microsoft.com/office/drawing/2010/main" val="0"/>
                        </a:ext>
                      </a:extLst>
                    </a:blip>
                    <a:stretch>
                      <a:fillRect/>
                    </a:stretch>
                  </pic:blipFill>
                  <pic:spPr>
                    <a:xfrm>
                      <a:off x="0" y="0"/>
                      <a:ext cx="6115050" cy="4639310"/>
                    </a:xfrm>
                    <a:prstGeom prst="rect">
                      <a:avLst/>
                    </a:prstGeom>
                  </pic:spPr>
                </pic:pic>
              </a:graphicData>
            </a:graphic>
          </wp:inline>
        </w:drawing>
      </w:r>
    </w:p>
    <w:p w14:paraId="2A38A398" w14:textId="4E1F2DB1" w:rsidR="004B17DA" w:rsidRDefault="004B17DA" w:rsidP="004B17DA">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Impact on NPSS based OTDOA accuracy from modelling of interference.</w:t>
      </w:r>
    </w:p>
    <w:p w14:paraId="3CE902BF" w14:textId="5896F3F1" w:rsidR="000C33F6" w:rsidRDefault="00C372EF" w:rsidP="00844A8B">
      <w:r>
        <w:t xml:space="preserve">The negative impact on accuracy can be explained by the number of eNBs taking part in any given positioning attempt. In the simulations performed for this paper a UE attempts to listen to the NPSS in up to 10 cells. If the SINR is below -13 dB the UE to eNB link is considered too weak to give a time of arrival estimate. </w:t>
      </w:r>
      <w:r w:rsidR="004B17DA">
        <w:t>The below figure depicts the distribution of number of eNBs taking part in a positioning attempt for the different investigated levels of interference. Again the impact is considerable. The OTDOA positioning algorithms need at least TOA estimates from four different eNBs to give a robust performance.</w:t>
      </w:r>
    </w:p>
    <w:p w14:paraId="037E80BA" w14:textId="3E9DCDBE" w:rsidR="00C372EF" w:rsidRDefault="004B17DA" w:rsidP="00C372EF">
      <w:pPr>
        <w:keepNext/>
      </w:pPr>
      <w:r>
        <w:rPr>
          <w:noProof/>
          <w:lang w:val="en-US" w:eastAsia="en-US"/>
        </w:rPr>
        <w:lastRenderedPageBreak/>
        <w:drawing>
          <wp:inline distT="0" distB="0" distL="0" distR="0" wp14:anchorId="46EABBD4" wp14:editId="77BE9920">
            <wp:extent cx="6115050" cy="45866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etected_BS.png"/>
                    <pic:cNvPicPr/>
                  </pic:nvPicPr>
                  <pic:blipFill>
                    <a:blip r:embed="rId10">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6757B490" w14:textId="09B2DB9D" w:rsidR="00441E25" w:rsidRPr="00441E25" w:rsidRDefault="00C372EF" w:rsidP="00C372EF">
      <w:pPr>
        <w:pStyle w:val="Caption"/>
        <w:jc w:val="both"/>
      </w:pPr>
      <w:r>
        <w:t xml:space="preserve">Figure </w:t>
      </w:r>
      <w:r>
        <w:fldChar w:fldCharType="begin"/>
      </w:r>
      <w:r>
        <w:instrText xml:space="preserve"> SEQ Figure \* ARABIC </w:instrText>
      </w:r>
      <w:r>
        <w:fldChar w:fldCharType="separate"/>
      </w:r>
      <w:r w:rsidR="004B17DA">
        <w:rPr>
          <w:noProof/>
        </w:rPr>
        <w:t>3</w:t>
      </w:r>
      <w:r>
        <w:fldChar w:fldCharType="end"/>
      </w:r>
      <w:r>
        <w:t xml:space="preserve"> Distribution of number of eNBs taking part in a positioning attempt for different level of interference.</w:t>
      </w:r>
    </w:p>
    <w:p w14:paraId="520B425E" w14:textId="56C45FE2" w:rsidR="00441E25" w:rsidRPr="00E330BC" w:rsidRDefault="004B17DA" w:rsidP="00441E25">
      <w:pPr>
        <w:pStyle w:val="Heading1"/>
      </w:pPr>
      <w:r>
        <w:t>Conclusion</w:t>
      </w:r>
    </w:p>
    <w:p w14:paraId="0F355022" w14:textId="41083E06" w:rsidR="00F56E87" w:rsidRDefault="004B17DA" w:rsidP="00D97E17">
      <w:pPr>
        <w:pStyle w:val="BodyText"/>
      </w:pPr>
      <w:r>
        <w:t xml:space="preserve">This paper has investigated the impact </w:t>
      </w:r>
      <w:r w:rsidR="00AF63E2">
        <w:t xml:space="preserve">from interference </w:t>
      </w:r>
      <w:r>
        <w:t xml:space="preserve">on </w:t>
      </w:r>
      <w:r w:rsidR="00AF63E2">
        <w:t xml:space="preserve">NPSS based OTDOA positioning. It was shown that high interference loads have a considerable and negative impact on the </w:t>
      </w:r>
      <w:r w:rsidR="00075E66">
        <w:t>simulated</w:t>
      </w:r>
      <w:r w:rsidR="00AF63E2">
        <w:t xml:space="preserve"> performance. Although only NPSS was studied within the scope of this paper it is expected that similar impacts will be visible also for other existing NB-IoT Release 13 signals such as NSSS and NRS.</w:t>
      </w:r>
    </w:p>
    <w:p w14:paraId="180302F2" w14:textId="42EDBB43" w:rsidR="00EF5E10" w:rsidRDefault="00EF5E10" w:rsidP="00D97E17">
      <w:pPr>
        <w:pStyle w:val="BodyText"/>
      </w:pPr>
      <w:r>
        <w:t xml:space="preserve">It is therefore proposed that RAN1 focus its efforts </w:t>
      </w:r>
      <w:r w:rsidR="00075E66">
        <w:t>for</w:t>
      </w:r>
      <w:r>
        <w:t xml:space="preserve"> NB-IOT positioning on PRS like signals as proposed in </w:t>
      </w:r>
      <w:r>
        <w:fldChar w:fldCharType="begin"/>
      </w:r>
      <w:r>
        <w:instrText xml:space="preserve"> REF _Ref462832434 \r \h </w:instrText>
      </w:r>
      <w:r>
        <w:fldChar w:fldCharType="separate"/>
      </w:r>
      <w:r>
        <w:t>[7]</w:t>
      </w:r>
      <w:r>
        <w:fldChar w:fldCharType="end"/>
      </w:r>
      <w:r>
        <w:t xml:space="preserve">, since they have an inherent resilience against interference as shown in </w:t>
      </w:r>
      <w:r>
        <w:fldChar w:fldCharType="begin"/>
      </w:r>
      <w:r>
        <w:instrText xml:space="preserve"> REF _Ref462836006 \r \h </w:instrText>
      </w:r>
      <w:r>
        <w:fldChar w:fldCharType="separate"/>
      </w:r>
      <w:r>
        <w:t>[8]</w:t>
      </w:r>
      <w:r>
        <w:fldChar w:fldCharType="end"/>
      </w:r>
      <w:r>
        <w:t xml:space="preserve">. </w:t>
      </w:r>
    </w:p>
    <w:p w14:paraId="774029A6" w14:textId="4C7901C0" w:rsidR="00EF5E10" w:rsidRPr="00EF5E10" w:rsidRDefault="00EF5E10" w:rsidP="00D97E17">
      <w:pPr>
        <w:pStyle w:val="BodyText"/>
        <w:rPr>
          <w:b/>
        </w:rPr>
      </w:pPr>
      <w:r w:rsidRPr="00EF5E10">
        <w:rPr>
          <w:b/>
        </w:rPr>
        <w:t>Proposal: RAN1 should focus its efforts on NB-IOT positioning on PRS like signals.</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D85BCE3" w14:textId="594FBCF8" w:rsidR="008F0A57" w:rsidRPr="00414C31" w:rsidRDefault="00B4265E" w:rsidP="00B52E70">
      <w:pPr>
        <w:pStyle w:val="Reference"/>
        <w:numPr>
          <w:ilvl w:val="0"/>
          <w:numId w:val="1"/>
        </w:numPr>
        <w:overflowPunct/>
        <w:autoSpaceDE/>
        <w:autoSpaceDN/>
        <w:adjustRightInd/>
        <w:spacing w:after="200" w:line="276" w:lineRule="auto"/>
        <w:jc w:val="left"/>
        <w:textAlignment w:val="auto"/>
        <w:rPr>
          <w:rFonts w:cs="Arial"/>
        </w:rPr>
      </w:pPr>
      <w:bookmarkStart w:id="2" w:name="_Ref458157933"/>
      <w:r>
        <w:rPr>
          <w:lang w:val="en-US"/>
        </w:rPr>
        <w:t xml:space="preserve">RP-161324, </w:t>
      </w:r>
      <w:r w:rsidR="00B52E70" w:rsidRPr="00B52E70">
        <w:rPr>
          <w:lang w:val="en-US"/>
        </w:rPr>
        <w:t>New work item proposal: Enhancements of NB-IoT</w:t>
      </w:r>
      <w:r w:rsidR="00B52E70">
        <w:rPr>
          <w:lang w:val="en-US"/>
        </w:rPr>
        <w:t>,</w:t>
      </w:r>
      <w:r w:rsidR="00414C31">
        <w:rPr>
          <w:lang w:val="en-US"/>
        </w:rPr>
        <w:t xml:space="preserve"> </w:t>
      </w:r>
      <w:r w:rsidR="00B52E70">
        <w:rPr>
          <w:lang w:val="en-US"/>
        </w:rPr>
        <w:t xml:space="preserve">source </w:t>
      </w:r>
      <w:r w:rsidR="00B52E70" w:rsidRPr="00B52E70">
        <w:rPr>
          <w:lang w:val="en-US"/>
        </w:rPr>
        <w:t>Vodafone, Huawei, HiSilicon, Ericsson, Qualcomm</w:t>
      </w:r>
      <w:r w:rsidR="00B52E70">
        <w:rPr>
          <w:lang w:val="en-US"/>
        </w:rPr>
        <w:t xml:space="preserve">, </w:t>
      </w:r>
      <w:r w:rsidR="00B52E70" w:rsidRPr="00B52E70">
        <w:rPr>
          <w:lang w:val="en-US"/>
        </w:rPr>
        <w:t>3GPP TSG RAN Meeting #72</w:t>
      </w:r>
      <w:r w:rsidR="00B52E70">
        <w:rPr>
          <w:lang w:val="en-US"/>
        </w:rPr>
        <w:t xml:space="preserve">, </w:t>
      </w:r>
      <w:r w:rsidR="00B52E70" w:rsidRPr="00B52E70">
        <w:rPr>
          <w:lang w:val="en-US"/>
        </w:rPr>
        <w:t>Busan, Korea, 13th – 16th June, 2016</w:t>
      </w:r>
      <w:r w:rsidR="00B52E70">
        <w:rPr>
          <w:lang w:val="en-US"/>
        </w:rPr>
        <w:t>.</w:t>
      </w:r>
      <w:bookmarkEnd w:id="2"/>
    </w:p>
    <w:p w14:paraId="50B3B655" w14:textId="2CA9D92D" w:rsidR="00414C31" w:rsidRDefault="00414C31" w:rsidP="00414C31">
      <w:pPr>
        <w:pStyle w:val="Reference"/>
        <w:numPr>
          <w:ilvl w:val="0"/>
          <w:numId w:val="1"/>
        </w:numPr>
        <w:overflowPunct/>
        <w:autoSpaceDE/>
        <w:autoSpaceDN/>
        <w:adjustRightInd/>
        <w:spacing w:after="200" w:line="276" w:lineRule="auto"/>
        <w:jc w:val="left"/>
        <w:textAlignment w:val="auto"/>
        <w:rPr>
          <w:rFonts w:cs="Arial"/>
        </w:rPr>
      </w:pPr>
      <w:bookmarkStart w:id="3" w:name="_Ref458718343"/>
      <w:r w:rsidRPr="00414C31">
        <w:rPr>
          <w:rFonts w:cs="Arial"/>
        </w:rPr>
        <w:t>R1-167425</w:t>
      </w:r>
      <w:r>
        <w:rPr>
          <w:rFonts w:cs="Arial"/>
        </w:rPr>
        <w:t>,</w:t>
      </w:r>
      <w:r w:rsidRPr="00414C31">
        <w:rPr>
          <w:rFonts w:cs="Arial"/>
        </w:rPr>
        <w:t xml:space="preserve"> On uplink-based positioning for NB-IoT, RAN1#86, source Ericsson</w:t>
      </w:r>
      <w:bookmarkEnd w:id="3"/>
    </w:p>
    <w:p w14:paraId="4AE152D5" w14:textId="0AFD5896" w:rsidR="00414C31" w:rsidRDefault="00414C31" w:rsidP="00414C31">
      <w:pPr>
        <w:pStyle w:val="Reference"/>
        <w:numPr>
          <w:ilvl w:val="0"/>
          <w:numId w:val="1"/>
        </w:numPr>
        <w:overflowPunct/>
        <w:autoSpaceDE/>
        <w:autoSpaceDN/>
        <w:adjustRightInd/>
        <w:spacing w:after="200" w:line="276" w:lineRule="auto"/>
        <w:jc w:val="left"/>
        <w:textAlignment w:val="auto"/>
        <w:rPr>
          <w:rFonts w:cs="Arial"/>
        </w:rPr>
      </w:pPr>
      <w:bookmarkStart w:id="4" w:name="_Ref458718346"/>
      <w:r w:rsidRPr="00414C31">
        <w:rPr>
          <w:rFonts w:cs="Arial"/>
        </w:rPr>
        <w:t>R1-167426</w:t>
      </w:r>
      <w:r>
        <w:rPr>
          <w:rFonts w:cs="Arial"/>
        </w:rPr>
        <w:t>,</w:t>
      </w:r>
      <w:r w:rsidRPr="00414C31">
        <w:rPr>
          <w:rFonts w:cs="Arial"/>
        </w:rPr>
        <w:t xml:space="preserve"> On timing advance based multi-leg positioning for NB-IoT, RAN1#86, source Ericsson</w:t>
      </w:r>
      <w:bookmarkEnd w:id="4"/>
    </w:p>
    <w:p w14:paraId="00C91725" w14:textId="0197F7A2" w:rsidR="00414C31" w:rsidRPr="003B414D" w:rsidRDefault="00414C31" w:rsidP="00414C31">
      <w:pPr>
        <w:pStyle w:val="Reference"/>
        <w:numPr>
          <w:ilvl w:val="0"/>
          <w:numId w:val="1"/>
        </w:numPr>
        <w:overflowPunct/>
        <w:autoSpaceDE/>
        <w:autoSpaceDN/>
        <w:adjustRightInd/>
        <w:spacing w:after="200" w:line="276" w:lineRule="auto"/>
        <w:jc w:val="left"/>
        <w:textAlignment w:val="auto"/>
        <w:rPr>
          <w:rFonts w:cs="Arial"/>
        </w:rPr>
      </w:pPr>
      <w:bookmarkStart w:id="5" w:name="_Ref458718347"/>
      <w:r w:rsidRPr="00414C31">
        <w:rPr>
          <w:rFonts w:cs="Arial"/>
        </w:rPr>
        <w:t>R1-167427</w:t>
      </w:r>
      <w:r>
        <w:rPr>
          <w:rFonts w:cs="Arial"/>
        </w:rPr>
        <w:t>,</w:t>
      </w:r>
      <w:r w:rsidRPr="00414C31">
        <w:rPr>
          <w:rFonts w:cs="Arial"/>
        </w:rPr>
        <w:t xml:space="preserve"> On downlink-based positioning for NB-IoT, RAN1#86, source Ericsson</w:t>
      </w:r>
      <w:bookmarkEnd w:id="5"/>
    </w:p>
    <w:p w14:paraId="5A465004" w14:textId="1884FE15" w:rsidR="005B6B31" w:rsidRDefault="004F1CFF" w:rsidP="00414C31">
      <w:pPr>
        <w:pStyle w:val="Reference"/>
        <w:numPr>
          <w:ilvl w:val="0"/>
          <w:numId w:val="1"/>
        </w:numPr>
        <w:overflowPunct/>
        <w:autoSpaceDE/>
        <w:autoSpaceDN/>
        <w:adjustRightInd/>
        <w:spacing w:after="200" w:line="276" w:lineRule="auto"/>
        <w:jc w:val="left"/>
        <w:textAlignment w:val="auto"/>
        <w:rPr>
          <w:rFonts w:cs="Arial"/>
        </w:rPr>
      </w:pPr>
      <w:bookmarkStart w:id="6" w:name="_Ref458421697"/>
      <w:bookmarkStart w:id="7" w:name="_Ref462838573"/>
      <w:r>
        <w:rPr>
          <w:rFonts w:cs="Arial"/>
        </w:rPr>
        <w:t xml:space="preserve">R1-168310, WF on simulation </w:t>
      </w:r>
      <w:r w:rsidR="004B17DA">
        <w:rPr>
          <w:rFonts w:cs="Arial"/>
        </w:rPr>
        <w:t>assumptions</w:t>
      </w:r>
      <w:r w:rsidR="003B414D" w:rsidRPr="00414C31">
        <w:rPr>
          <w:rFonts w:cs="Arial"/>
        </w:rPr>
        <w:t xml:space="preserve">, RAN1#86, source </w:t>
      </w:r>
      <w:bookmarkStart w:id="8" w:name="_Ref458435556"/>
      <w:bookmarkEnd w:id="6"/>
      <w:r>
        <w:rPr>
          <w:rFonts w:cs="Arial"/>
        </w:rPr>
        <w:t>ZTE et al.</w:t>
      </w:r>
      <w:bookmarkEnd w:id="7"/>
    </w:p>
    <w:p w14:paraId="35917A01" w14:textId="5E21A430" w:rsidR="00FC1176" w:rsidRDefault="00FC1176" w:rsidP="00414C31">
      <w:pPr>
        <w:pStyle w:val="Reference"/>
        <w:numPr>
          <w:ilvl w:val="0"/>
          <w:numId w:val="1"/>
        </w:numPr>
        <w:overflowPunct/>
        <w:autoSpaceDE/>
        <w:autoSpaceDN/>
        <w:adjustRightInd/>
        <w:spacing w:after="200" w:line="276" w:lineRule="auto"/>
        <w:jc w:val="left"/>
        <w:textAlignment w:val="auto"/>
        <w:rPr>
          <w:rFonts w:cs="Arial"/>
        </w:rPr>
      </w:pPr>
      <w:bookmarkStart w:id="9" w:name="_Ref462745136"/>
      <w:bookmarkEnd w:id="8"/>
      <w:r>
        <w:rPr>
          <w:rFonts w:cs="Arial"/>
          <w:lang w:val="de-DE"/>
        </w:rPr>
        <w:lastRenderedPageBreak/>
        <w:t>R1-16</w:t>
      </w:r>
      <w:r w:rsidR="00E41D22">
        <w:rPr>
          <w:rFonts w:cs="Arial"/>
          <w:lang w:val="de-DE"/>
        </w:rPr>
        <w:t>08699</w:t>
      </w:r>
      <w:r>
        <w:rPr>
          <w:rFonts w:cs="Arial"/>
          <w:lang w:val="de-DE"/>
        </w:rPr>
        <w:t xml:space="preserve">, A new system simulator for NB-IoT positioning, </w:t>
      </w:r>
      <w:r w:rsidRPr="00414C31">
        <w:rPr>
          <w:rFonts w:cs="Arial"/>
        </w:rPr>
        <w:t>RAN1#86</w:t>
      </w:r>
      <w:r w:rsidR="004A0DBD">
        <w:rPr>
          <w:rFonts w:cs="Arial"/>
        </w:rPr>
        <w:t>bis</w:t>
      </w:r>
      <w:r w:rsidRPr="00414C31">
        <w:rPr>
          <w:rFonts w:cs="Arial"/>
        </w:rPr>
        <w:t>, source Ericsson</w:t>
      </w:r>
      <w:bookmarkEnd w:id="9"/>
    </w:p>
    <w:p w14:paraId="7A710B5C" w14:textId="371D1154" w:rsidR="00810A80" w:rsidRPr="005B6B31" w:rsidRDefault="00810A80" w:rsidP="00414C31">
      <w:pPr>
        <w:pStyle w:val="Reference"/>
        <w:numPr>
          <w:ilvl w:val="0"/>
          <w:numId w:val="1"/>
        </w:numPr>
        <w:overflowPunct/>
        <w:autoSpaceDE/>
        <w:autoSpaceDN/>
        <w:adjustRightInd/>
        <w:spacing w:after="200" w:line="276" w:lineRule="auto"/>
        <w:jc w:val="left"/>
        <w:textAlignment w:val="auto"/>
        <w:rPr>
          <w:rFonts w:cs="Arial"/>
        </w:rPr>
      </w:pPr>
      <w:bookmarkStart w:id="10" w:name="_Ref462832434"/>
      <w:r>
        <w:rPr>
          <w:rFonts w:cs="Arial"/>
        </w:rPr>
        <w:t>R1-16</w:t>
      </w:r>
      <w:r w:rsidR="00E41D22">
        <w:rPr>
          <w:rFonts w:cs="Arial"/>
        </w:rPr>
        <w:t>08697</w:t>
      </w:r>
      <w:r>
        <w:rPr>
          <w:rFonts w:cs="Arial"/>
        </w:rPr>
        <w:t>, OTDOA design for NB-IoT, RAN1#86bis, source Ericsson</w:t>
      </w:r>
      <w:bookmarkEnd w:id="10"/>
    </w:p>
    <w:p w14:paraId="7BE5CD83" w14:textId="018A5917" w:rsidR="00D370F2" w:rsidRPr="009511A2" w:rsidRDefault="00D370F2" w:rsidP="00D370F2">
      <w:pPr>
        <w:pStyle w:val="Reference"/>
        <w:numPr>
          <w:ilvl w:val="0"/>
          <w:numId w:val="1"/>
        </w:numPr>
        <w:overflowPunct/>
        <w:autoSpaceDE/>
        <w:autoSpaceDN/>
        <w:adjustRightInd/>
        <w:spacing w:after="200" w:line="276" w:lineRule="auto"/>
        <w:jc w:val="left"/>
        <w:textAlignment w:val="auto"/>
        <w:rPr>
          <w:rFonts w:cs="Arial"/>
        </w:rPr>
      </w:pPr>
      <w:bookmarkStart w:id="11" w:name="_Ref462836006"/>
      <w:r w:rsidRPr="009511A2">
        <w:rPr>
          <w:rFonts w:cs="Arial"/>
        </w:rPr>
        <w:t>R1-16</w:t>
      </w:r>
      <w:r w:rsidR="00E41D22">
        <w:rPr>
          <w:rFonts w:cs="Arial"/>
        </w:rPr>
        <w:t>08698</w:t>
      </w:r>
      <w:r w:rsidRPr="009511A2">
        <w:rPr>
          <w:rFonts w:cs="Arial"/>
        </w:rPr>
        <w:t>, OTDOA performance for NB-IoT, RAN1#86bis, source Ericsson</w:t>
      </w:r>
      <w:bookmarkEnd w:id="11"/>
    </w:p>
    <w:p w14:paraId="2DDF2AF3" w14:textId="77777777" w:rsidR="002C1D57" w:rsidRPr="008F0A57" w:rsidRDefault="002C1D57"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2C1D57" w:rsidRPr="008F0A57"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7253" w14:textId="77777777" w:rsidR="00053A12" w:rsidRDefault="00053A12">
      <w:pPr>
        <w:spacing w:after="0"/>
      </w:pPr>
      <w:r>
        <w:separator/>
      </w:r>
    </w:p>
  </w:endnote>
  <w:endnote w:type="continuationSeparator" w:id="0">
    <w:p w14:paraId="5F3771CB" w14:textId="77777777" w:rsidR="00053A12" w:rsidRDefault="00053A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324E27C9" w:rsidR="00B44B5C" w:rsidRDefault="00B44B5C">
    <w:pPr>
      <w:pStyle w:val="Footer"/>
      <w:ind w:right="-1521"/>
    </w:pPr>
    <w:r>
      <w:rPr>
        <w:rStyle w:val="PageNumber"/>
      </w:rPr>
      <w:fldChar w:fldCharType="begin"/>
    </w:r>
    <w:r>
      <w:rPr>
        <w:rStyle w:val="PageNumber"/>
      </w:rPr>
      <w:instrText xml:space="preserve"> PAGE </w:instrText>
    </w:r>
    <w:r>
      <w:rPr>
        <w:rStyle w:val="PageNumber"/>
      </w:rPr>
      <w:fldChar w:fldCharType="separate"/>
    </w:r>
    <w:r w:rsidR="00E41D22">
      <w:rPr>
        <w:rStyle w:val="PageNumber"/>
      </w:rPr>
      <w:t>2</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D22">
      <w:rPr>
        <w:rStyle w:val="PageNumber"/>
      </w:rPr>
      <w:t>5</w:t>
    </w:r>
    <w:r>
      <w:rPr>
        <w:rStyle w:val="PageNumber"/>
      </w:rPr>
      <w:fldChar w:fldCharType="end"/>
    </w:r>
    <w:r>
      <w:rPr>
        <w:rStyle w:val="PageNumber"/>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3C15D6F9" w:rsidR="00B44B5C" w:rsidRDefault="00B44B5C">
    <w:pPr>
      <w:pStyle w:val="Footer"/>
    </w:pPr>
    <w:r>
      <w:rPr>
        <w:rStyle w:val="PageNumber"/>
      </w:rPr>
      <w:fldChar w:fldCharType="begin"/>
    </w:r>
    <w:r>
      <w:rPr>
        <w:rStyle w:val="PageNumber"/>
      </w:rPr>
      <w:instrText xml:space="preserve"> PAGE </w:instrText>
    </w:r>
    <w:r>
      <w:rPr>
        <w:rStyle w:val="PageNumber"/>
      </w:rPr>
      <w:fldChar w:fldCharType="separate"/>
    </w:r>
    <w:r w:rsidR="00E41D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D22">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1CD59" w14:textId="77777777" w:rsidR="00053A12" w:rsidRDefault="00053A12">
      <w:pPr>
        <w:spacing w:after="0"/>
      </w:pPr>
      <w:r>
        <w:separator/>
      </w:r>
    </w:p>
  </w:footnote>
  <w:footnote w:type="continuationSeparator" w:id="0">
    <w:p w14:paraId="30FF079E" w14:textId="77777777" w:rsidR="00053A12" w:rsidRDefault="00053A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B44B5C" w:rsidRPr="006A0FC7" w:rsidRDefault="00B44B5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B44B5C" w:rsidRPr="00BF30DA" w:rsidRDefault="00B44B5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8"/>
  </w:num>
  <w:num w:numId="27">
    <w:abstractNumId w:val="1"/>
  </w:num>
  <w:num w:numId="28">
    <w:abstractNumId w:val="16"/>
  </w:num>
  <w:num w:numId="29">
    <w:abstractNumId w:val="11"/>
  </w:num>
  <w:num w:numId="30">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5C8"/>
    <w:rsid w:val="00003F28"/>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37EA4"/>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A12"/>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32A0"/>
    <w:rsid w:val="000857F2"/>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3890"/>
    <w:rsid w:val="00104263"/>
    <w:rsid w:val="00111437"/>
    <w:rsid w:val="00111F3B"/>
    <w:rsid w:val="00111F79"/>
    <w:rsid w:val="00112BA9"/>
    <w:rsid w:val="00114738"/>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A88"/>
    <w:rsid w:val="00292E99"/>
    <w:rsid w:val="00293FA8"/>
    <w:rsid w:val="0029480F"/>
    <w:rsid w:val="002951FC"/>
    <w:rsid w:val="002971F7"/>
    <w:rsid w:val="002A039E"/>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514BC"/>
    <w:rsid w:val="00351C0A"/>
    <w:rsid w:val="00351F34"/>
    <w:rsid w:val="00352334"/>
    <w:rsid w:val="003526DC"/>
    <w:rsid w:val="0035309F"/>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6AB"/>
    <w:rsid w:val="00411778"/>
    <w:rsid w:val="00411D73"/>
    <w:rsid w:val="00414004"/>
    <w:rsid w:val="00414321"/>
    <w:rsid w:val="00414396"/>
    <w:rsid w:val="00414C31"/>
    <w:rsid w:val="00414D8B"/>
    <w:rsid w:val="00414F7A"/>
    <w:rsid w:val="00414F92"/>
    <w:rsid w:val="00420193"/>
    <w:rsid w:val="0042059A"/>
    <w:rsid w:val="00420701"/>
    <w:rsid w:val="00420745"/>
    <w:rsid w:val="00421F27"/>
    <w:rsid w:val="00422D08"/>
    <w:rsid w:val="00423C86"/>
    <w:rsid w:val="00425B94"/>
    <w:rsid w:val="00427DC8"/>
    <w:rsid w:val="00434528"/>
    <w:rsid w:val="00435E98"/>
    <w:rsid w:val="004373A6"/>
    <w:rsid w:val="004375FE"/>
    <w:rsid w:val="00437604"/>
    <w:rsid w:val="00437704"/>
    <w:rsid w:val="00440089"/>
    <w:rsid w:val="00440F45"/>
    <w:rsid w:val="004414AC"/>
    <w:rsid w:val="00441B76"/>
    <w:rsid w:val="00441E25"/>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5C71"/>
    <w:rsid w:val="00476D85"/>
    <w:rsid w:val="004774D9"/>
    <w:rsid w:val="004779A9"/>
    <w:rsid w:val="0048083A"/>
    <w:rsid w:val="00480C7A"/>
    <w:rsid w:val="004857BA"/>
    <w:rsid w:val="00485FE7"/>
    <w:rsid w:val="00486CE0"/>
    <w:rsid w:val="00486F40"/>
    <w:rsid w:val="004907E4"/>
    <w:rsid w:val="00490EB5"/>
    <w:rsid w:val="00491B56"/>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462C"/>
    <w:rsid w:val="0051496C"/>
    <w:rsid w:val="00514B79"/>
    <w:rsid w:val="00514DF2"/>
    <w:rsid w:val="00514FDA"/>
    <w:rsid w:val="00516EB5"/>
    <w:rsid w:val="005175E0"/>
    <w:rsid w:val="00520546"/>
    <w:rsid w:val="00520743"/>
    <w:rsid w:val="00520A82"/>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46F1"/>
    <w:rsid w:val="00534B00"/>
    <w:rsid w:val="005354C4"/>
    <w:rsid w:val="005374AC"/>
    <w:rsid w:val="0053773A"/>
    <w:rsid w:val="005377F6"/>
    <w:rsid w:val="0054074D"/>
    <w:rsid w:val="00540A6F"/>
    <w:rsid w:val="0054190F"/>
    <w:rsid w:val="00541C4C"/>
    <w:rsid w:val="00543232"/>
    <w:rsid w:val="00543F98"/>
    <w:rsid w:val="00546DC5"/>
    <w:rsid w:val="0054763B"/>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2F"/>
    <w:rsid w:val="005D61B2"/>
    <w:rsid w:val="005D7A04"/>
    <w:rsid w:val="005D7D54"/>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68E"/>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DC3"/>
    <w:rsid w:val="006C66E6"/>
    <w:rsid w:val="006C67B9"/>
    <w:rsid w:val="006C7316"/>
    <w:rsid w:val="006C733A"/>
    <w:rsid w:val="006D203B"/>
    <w:rsid w:val="006D2304"/>
    <w:rsid w:val="006D2A6D"/>
    <w:rsid w:val="006D2CBF"/>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F1C29"/>
    <w:rsid w:val="006F2819"/>
    <w:rsid w:val="006F289B"/>
    <w:rsid w:val="006F2C3A"/>
    <w:rsid w:val="006F3289"/>
    <w:rsid w:val="006F384E"/>
    <w:rsid w:val="006F3D21"/>
    <w:rsid w:val="006F3DD4"/>
    <w:rsid w:val="006F4992"/>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171"/>
    <w:rsid w:val="007616B8"/>
    <w:rsid w:val="00761706"/>
    <w:rsid w:val="0076188E"/>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5F9"/>
    <w:rsid w:val="00782C8A"/>
    <w:rsid w:val="007844BE"/>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7D73"/>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EE"/>
    <w:rsid w:val="00A32194"/>
    <w:rsid w:val="00A321DD"/>
    <w:rsid w:val="00A32665"/>
    <w:rsid w:val="00A330AB"/>
    <w:rsid w:val="00A334AB"/>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353"/>
    <w:rsid w:val="00A619D8"/>
    <w:rsid w:val="00A6251F"/>
    <w:rsid w:val="00A62C43"/>
    <w:rsid w:val="00A653F3"/>
    <w:rsid w:val="00A66CEE"/>
    <w:rsid w:val="00A675B4"/>
    <w:rsid w:val="00A67E15"/>
    <w:rsid w:val="00A7073E"/>
    <w:rsid w:val="00A70C5E"/>
    <w:rsid w:val="00A70CCC"/>
    <w:rsid w:val="00A7225A"/>
    <w:rsid w:val="00A72D1F"/>
    <w:rsid w:val="00A746BD"/>
    <w:rsid w:val="00A779CA"/>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3056"/>
    <w:rsid w:val="00AC39A7"/>
    <w:rsid w:val="00AC5B85"/>
    <w:rsid w:val="00AC70EA"/>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259B"/>
    <w:rsid w:val="00AF2F7E"/>
    <w:rsid w:val="00AF3225"/>
    <w:rsid w:val="00AF3B7B"/>
    <w:rsid w:val="00AF3D5A"/>
    <w:rsid w:val="00AF41AB"/>
    <w:rsid w:val="00AF63E2"/>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143"/>
    <w:rsid w:val="00B4265E"/>
    <w:rsid w:val="00B42C82"/>
    <w:rsid w:val="00B42CF6"/>
    <w:rsid w:val="00B42E13"/>
    <w:rsid w:val="00B4307D"/>
    <w:rsid w:val="00B43B19"/>
    <w:rsid w:val="00B43F8D"/>
    <w:rsid w:val="00B44B5C"/>
    <w:rsid w:val="00B4503E"/>
    <w:rsid w:val="00B45830"/>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51F7"/>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4E07"/>
    <w:rsid w:val="00B86834"/>
    <w:rsid w:val="00B86897"/>
    <w:rsid w:val="00B91541"/>
    <w:rsid w:val="00B91F99"/>
    <w:rsid w:val="00B92219"/>
    <w:rsid w:val="00B9399D"/>
    <w:rsid w:val="00B93B89"/>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34A0"/>
    <w:rsid w:val="00BE35B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141F"/>
    <w:rsid w:val="00C02844"/>
    <w:rsid w:val="00C037E9"/>
    <w:rsid w:val="00C05A4D"/>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37916"/>
    <w:rsid w:val="00C40D77"/>
    <w:rsid w:val="00C4362F"/>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2245"/>
    <w:rsid w:val="00CC3A65"/>
    <w:rsid w:val="00CC3A8B"/>
    <w:rsid w:val="00CC5D83"/>
    <w:rsid w:val="00CC5EEF"/>
    <w:rsid w:val="00CC5FEC"/>
    <w:rsid w:val="00CC6F27"/>
    <w:rsid w:val="00CD0C86"/>
    <w:rsid w:val="00CD10D7"/>
    <w:rsid w:val="00CD2FDC"/>
    <w:rsid w:val="00CD33AF"/>
    <w:rsid w:val="00CD49A0"/>
    <w:rsid w:val="00CD4CC6"/>
    <w:rsid w:val="00CD5E27"/>
    <w:rsid w:val="00CD7F35"/>
    <w:rsid w:val="00CE032A"/>
    <w:rsid w:val="00CE0BC2"/>
    <w:rsid w:val="00CE1478"/>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D22"/>
    <w:rsid w:val="00E41FF8"/>
    <w:rsid w:val="00E4277C"/>
    <w:rsid w:val="00E4319D"/>
    <w:rsid w:val="00E446A7"/>
    <w:rsid w:val="00E44741"/>
    <w:rsid w:val="00E46CE1"/>
    <w:rsid w:val="00E47250"/>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44F"/>
    <w:rsid w:val="00ED7EB7"/>
    <w:rsid w:val="00EE0DBB"/>
    <w:rsid w:val="00EE1782"/>
    <w:rsid w:val="00EE2F5B"/>
    <w:rsid w:val="00EE4363"/>
    <w:rsid w:val="00EE473D"/>
    <w:rsid w:val="00EE732B"/>
    <w:rsid w:val="00EE744D"/>
    <w:rsid w:val="00EE7974"/>
    <w:rsid w:val="00EF234E"/>
    <w:rsid w:val="00EF3895"/>
    <w:rsid w:val="00EF3B77"/>
    <w:rsid w:val="00EF4239"/>
    <w:rsid w:val="00EF5E10"/>
    <w:rsid w:val="00EF6BD5"/>
    <w:rsid w:val="00EF7093"/>
    <w:rsid w:val="00EF71D2"/>
    <w:rsid w:val="00EF7939"/>
    <w:rsid w:val="00EF7ABE"/>
    <w:rsid w:val="00F00275"/>
    <w:rsid w:val="00F00A2C"/>
    <w:rsid w:val="00F01569"/>
    <w:rsid w:val="00F01B8A"/>
    <w:rsid w:val="00F0235E"/>
    <w:rsid w:val="00F03BB8"/>
    <w:rsid w:val="00F03F4D"/>
    <w:rsid w:val="00F0407F"/>
    <w:rsid w:val="00F040B2"/>
    <w:rsid w:val="00F04447"/>
    <w:rsid w:val="00F05CFA"/>
    <w:rsid w:val="00F061DF"/>
    <w:rsid w:val="00F06823"/>
    <w:rsid w:val="00F06C51"/>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6043E"/>
    <w:rsid w:val="00F60658"/>
    <w:rsid w:val="00F609BA"/>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72FE"/>
    <w:rsid w:val="00F9769E"/>
    <w:rsid w:val="00FA0190"/>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24FEF-2FDA-4362-9BE0-D3A6219B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7658</TotalTime>
  <Pages>5</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olof.liberg@ericsson.com</dc:creator>
  <cp:lastModifiedBy>Olof Liberg</cp:lastModifiedBy>
  <cp:revision>1523</cp:revision>
  <cp:lastPrinted>2015-07-20T19:34:00Z</cp:lastPrinted>
  <dcterms:created xsi:type="dcterms:W3CDTF">2015-09-03T17:40:00Z</dcterms:created>
  <dcterms:modified xsi:type="dcterms:W3CDTF">2016-09-30T16:01:00Z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